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7E3CF" w14:textId="67904BEE" w:rsidR="00213A09" w:rsidRDefault="00213A09" w:rsidP="00213A09">
      <w:pPr>
        <w:pStyle w:val="NormalWeb"/>
        <w:shd w:val="clear" w:color="auto" w:fill="FFFFFF"/>
        <w:spacing w:before="0" w:beforeAutospacing="0"/>
        <w:ind w:left="2880" w:firstLine="720"/>
        <w:rPr>
          <w:rFonts w:ascii="Segoe UI" w:hAnsi="Segoe UI" w:cs="Segoe UI"/>
          <w:b/>
          <w:bCs/>
          <w:color w:val="212529"/>
          <w:sz w:val="23"/>
          <w:szCs w:val="23"/>
        </w:rPr>
      </w:pPr>
      <w:r>
        <w:rPr>
          <w:rFonts w:ascii="Segoe UI" w:hAnsi="Segoe UI" w:cs="Segoe UI"/>
          <w:b/>
          <w:bCs/>
          <w:color w:val="212529"/>
          <w:sz w:val="23"/>
          <w:szCs w:val="23"/>
        </w:rPr>
        <w:t>Alejandro Lazaro:</w:t>
      </w:r>
    </w:p>
    <w:p w14:paraId="46453747" w14:textId="1B942CD0" w:rsidR="00213A09" w:rsidRDefault="00213A09" w:rsidP="00213A09">
      <w:pPr>
        <w:pStyle w:val="NormalWeb"/>
        <w:shd w:val="clear" w:color="auto" w:fill="FFFFFF"/>
        <w:spacing w:before="0" w:beforeAutospacing="0"/>
        <w:jc w:val="center"/>
        <w:rPr>
          <w:rFonts w:ascii="Segoe UI" w:hAnsi="Segoe UI" w:cs="Segoe UI"/>
          <w:color w:val="212529"/>
          <w:sz w:val="23"/>
          <w:szCs w:val="23"/>
        </w:rPr>
      </w:pPr>
      <w:r>
        <w:rPr>
          <w:rFonts w:ascii="Segoe UI" w:hAnsi="Segoe UI" w:cs="Segoe UI"/>
          <w:b/>
          <w:bCs/>
          <w:color w:val="212529"/>
          <w:sz w:val="23"/>
          <w:szCs w:val="23"/>
        </w:rPr>
        <w:t>The Impact of Poverty on The Social Determinants of Health for Older Adults</w:t>
      </w:r>
    </w:p>
    <w:p w14:paraId="686668E5" w14:textId="77777777" w:rsidR="00213A09" w:rsidRDefault="00213A09" w:rsidP="00213A09">
      <w:pPr>
        <w:pStyle w:val="NormalWeb"/>
        <w:shd w:val="clear" w:color="auto" w:fill="FFFFFF"/>
        <w:spacing w:before="0" w:beforeAutospacing="0"/>
        <w:rPr>
          <w:rFonts w:ascii="Segoe UI" w:hAnsi="Segoe UI" w:cs="Segoe UI"/>
          <w:color w:val="212529"/>
          <w:sz w:val="23"/>
          <w:szCs w:val="23"/>
        </w:rPr>
      </w:pPr>
      <w:r>
        <w:rPr>
          <w:rFonts w:ascii="Segoe UI" w:hAnsi="Segoe UI" w:cs="Segoe UI"/>
          <w:color w:val="212529"/>
          <w:sz w:val="23"/>
          <w:szCs w:val="23"/>
        </w:rPr>
        <w:t xml:space="preserve">    Social determinants of health (SDOH) include the social, economic, and environmental factors that can affect individuals’ quality of life and health. These factors can include adequate access to food, nutrition, gainful employment and stable income, safe and affordable housing, safe neighborhoods, and reliable transportation. Individuals who have positive social, economic, and environmental exposures, or whose basic needs are met, are more likely to be in better health and maintain good health in the long term. Alternatively, those who struggle with SDOH-related factors are at greater risk of poor health, </w:t>
      </w:r>
      <w:proofErr w:type="gramStart"/>
      <w:r>
        <w:rPr>
          <w:rFonts w:ascii="Segoe UI" w:hAnsi="Segoe UI" w:cs="Segoe UI"/>
          <w:color w:val="212529"/>
          <w:sz w:val="23"/>
          <w:szCs w:val="23"/>
        </w:rPr>
        <w:t>morbidity</w:t>
      </w:r>
      <w:proofErr w:type="gramEnd"/>
      <w:r>
        <w:rPr>
          <w:rFonts w:ascii="Segoe UI" w:hAnsi="Segoe UI" w:cs="Segoe UI"/>
          <w:color w:val="212529"/>
          <w:sz w:val="23"/>
          <w:szCs w:val="23"/>
        </w:rPr>
        <w:t xml:space="preserve"> and mortality.</w:t>
      </w:r>
    </w:p>
    <w:p w14:paraId="3BD30BAF" w14:textId="77777777" w:rsidR="00213A09" w:rsidRDefault="00213A09" w:rsidP="00213A09">
      <w:pPr>
        <w:pStyle w:val="NormalWeb"/>
        <w:shd w:val="clear" w:color="auto" w:fill="FFFFFF"/>
        <w:spacing w:before="0" w:beforeAutospacing="0"/>
        <w:rPr>
          <w:rFonts w:ascii="Segoe UI" w:hAnsi="Segoe UI" w:cs="Segoe UI"/>
          <w:color w:val="212529"/>
          <w:sz w:val="23"/>
          <w:szCs w:val="23"/>
        </w:rPr>
      </w:pPr>
      <w:r>
        <w:rPr>
          <w:rFonts w:ascii="Segoe UI" w:hAnsi="Segoe UI" w:cs="Segoe UI"/>
          <w:color w:val="212529"/>
          <w:sz w:val="23"/>
          <w:szCs w:val="23"/>
        </w:rPr>
        <w:t xml:space="preserve">    For older adults in particular, SDOH-related factors can have significant implications for their ability to live independently and age in place Economic security and financial health are vital for ensuring the well-being of older adults aging in place. While </w:t>
      </w:r>
      <w:proofErr w:type="gramStart"/>
      <w:r>
        <w:rPr>
          <w:rFonts w:ascii="Segoe UI" w:hAnsi="Segoe UI" w:cs="Segoe UI"/>
          <w:color w:val="212529"/>
          <w:sz w:val="23"/>
          <w:szCs w:val="23"/>
        </w:rPr>
        <w:t>the majority of</w:t>
      </w:r>
      <w:proofErr w:type="gramEnd"/>
      <w:r>
        <w:rPr>
          <w:rFonts w:ascii="Segoe UI" w:hAnsi="Segoe UI" w:cs="Segoe UI"/>
          <w:color w:val="212529"/>
          <w:sz w:val="23"/>
          <w:szCs w:val="23"/>
        </w:rPr>
        <w:t xml:space="preserve"> older adults reported being somewhat or very satisfied with their current finances (57.5%) according to an inform carried out by the AARP foundation in 2018, sizeable proportions reported living in low-income households (34.4%) and finding it somewhat or very difficult to pay their monthly living expenses (22.8%). This research also revealed marked differences between age groups in their satisfaction with finances and difficulty paying bills. Aspects as access to nutritious and affordable foods is important for maintaining a healthy lifestyle, housing and medical expenses are among the most cited by elderly living in poverty in the USA.  (Cunningham, P., 2018).</w:t>
      </w:r>
    </w:p>
    <w:p w14:paraId="2A740108" w14:textId="77777777" w:rsidR="00213A09" w:rsidRDefault="00213A09" w:rsidP="00213A09">
      <w:pPr>
        <w:pStyle w:val="NormalWeb"/>
        <w:shd w:val="clear" w:color="auto" w:fill="FFFFFF"/>
        <w:spacing w:before="0" w:beforeAutospacing="0"/>
        <w:rPr>
          <w:rFonts w:ascii="Segoe UI" w:hAnsi="Segoe UI" w:cs="Segoe UI"/>
          <w:color w:val="212529"/>
          <w:sz w:val="23"/>
          <w:szCs w:val="23"/>
        </w:rPr>
      </w:pPr>
      <w:r>
        <w:rPr>
          <w:rFonts w:ascii="Segoe UI" w:hAnsi="Segoe UI" w:cs="Segoe UI"/>
          <w:color w:val="212529"/>
          <w:sz w:val="23"/>
          <w:szCs w:val="23"/>
        </w:rPr>
        <w:t xml:space="preserve">     SDOH will continue to have a large impact on health outcomes and health care utilization for the aging American population in the years to come mainly in current population of adults aged 60 or above provides valuable insight into the challenges currently faced by older adults, as well as their outlook for the future. The interrelatedness of many social determinants </w:t>
      </w:r>
      <w:proofErr w:type="gramStart"/>
      <w:r>
        <w:rPr>
          <w:rFonts w:ascii="Segoe UI" w:hAnsi="Segoe UI" w:cs="Segoe UI"/>
          <w:color w:val="212529"/>
          <w:sz w:val="23"/>
          <w:szCs w:val="23"/>
        </w:rPr>
        <w:t>call</w:t>
      </w:r>
      <w:proofErr w:type="gramEnd"/>
      <w:r>
        <w:rPr>
          <w:rFonts w:ascii="Segoe UI" w:hAnsi="Segoe UI" w:cs="Segoe UI"/>
          <w:color w:val="212529"/>
          <w:sz w:val="23"/>
          <w:szCs w:val="23"/>
        </w:rPr>
        <w:t xml:space="preserve"> for integrated approaches at the community, state, and national levels.</w:t>
      </w:r>
    </w:p>
    <w:p w14:paraId="5F46238C" w14:textId="20CE98E3" w:rsidR="00213A09" w:rsidRDefault="00213A09" w:rsidP="00213A09">
      <w:pPr>
        <w:pStyle w:val="NormalWeb"/>
        <w:shd w:val="clear" w:color="auto" w:fill="FFFFFF"/>
        <w:spacing w:before="0" w:beforeAutospacing="0"/>
        <w:jc w:val="center"/>
        <w:rPr>
          <w:rFonts w:ascii="Segoe UI" w:hAnsi="Segoe UI" w:cs="Segoe UI"/>
          <w:b/>
          <w:bCs/>
          <w:color w:val="212529"/>
          <w:sz w:val="22"/>
          <w:szCs w:val="22"/>
        </w:rPr>
      </w:pPr>
      <w:r>
        <w:rPr>
          <w:rFonts w:ascii="Segoe UI" w:hAnsi="Segoe UI" w:cs="Segoe UI"/>
          <w:b/>
          <w:bCs/>
          <w:color w:val="212529"/>
          <w:sz w:val="22"/>
          <w:szCs w:val="22"/>
        </w:rPr>
        <w:t>Abel Bueno:</w:t>
      </w:r>
    </w:p>
    <w:p w14:paraId="0A799AFD" w14:textId="5C3B0546" w:rsidR="00213A09" w:rsidRDefault="00213A09" w:rsidP="00213A09">
      <w:pPr>
        <w:pStyle w:val="NormalWeb"/>
        <w:shd w:val="clear" w:color="auto" w:fill="FFFFFF"/>
        <w:spacing w:before="0" w:beforeAutospacing="0"/>
        <w:jc w:val="center"/>
        <w:rPr>
          <w:rFonts w:ascii="Segoe UI" w:hAnsi="Segoe UI" w:cs="Segoe UI"/>
          <w:color w:val="212529"/>
          <w:sz w:val="22"/>
          <w:szCs w:val="22"/>
        </w:rPr>
      </w:pPr>
      <w:r>
        <w:rPr>
          <w:rFonts w:ascii="Segoe UI" w:hAnsi="Segoe UI" w:cs="Segoe UI"/>
          <w:b/>
          <w:bCs/>
          <w:color w:val="212529"/>
          <w:sz w:val="22"/>
          <w:szCs w:val="22"/>
        </w:rPr>
        <w:t xml:space="preserve">How the Social Determinants of Health for Older Adults Are Affected </w:t>
      </w:r>
      <w:proofErr w:type="gramStart"/>
      <w:r>
        <w:rPr>
          <w:rFonts w:ascii="Segoe UI" w:hAnsi="Segoe UI" w:cs="Segoe UI"/>
          <w:b/>
          <w:bCs/>
          <w:color w:val="212529"/>
          <w:sz w:val="22"/>
          <w:szCs w:val="22"/>
        </w:rPr>
        <w:t>By</w:t>
      </w:r>
      <w:proofErr w:type="gramEnd"/>
      <w:r>
        <w:rPr>
          <w:rFonts w:ascii="Segoe UI" w:hAnsi="Segoe UI" w:cs="Segoe UI"/>
          <w:b/>
          <w:bCs/>
          <w:color w:val="212529"/>
          <w:sz w:val="22"/>
          <w:szCs w:val="22"/>
        </w:rPr>
        <w:t xml:space="preserve"> Poverty</w:t>
      </w:r>
    </w:p>
    <w:p w14:paraId="763B977A" w14:textId="77777777" w:rsidR="00213A09" w:rsidRDefault="00213A09" w:rsidP="00213A09">
      <w:pPr>
        <w:pStyle w:val="NormalWeb"/>
        <w:shd w:val="clear" w:color="auto" w:fill="FFFFFF"/>
        <w:spacing w:before="0" w:beforeAutospacing="0"/>
        <w:rPr>
          <w:rFonts w:ascii="Segoe UI" w:hAnsi="Segoe UI" w:cs="Segoe UI"/>
          <w:color w:val="212529"/>
          <w:sz w:val="22"/>
          <w:szCs w:val="22"/>
        </w:rPr>
      </w:pPr>
      <w:r>
        <w:rPr>
          <w:rFonts w:ascii="Segoe UI" w:hAnsi="Segoe UI" w:cs="Segoe UI"/>
          <w:color w:val="212529"/>
          <w:sz w:val="22"/>
          <w:szCs w:val="22"/>
        </w:rPr>
        <w:t xml:space="preserve">         Social Determinants of Health (SDOH) are the social, economic, and environmental conditions that help the elderly maintain their health and well-being. These factors include adequate nutritious food, stable employment and income, safe housing, and reliable and affordable transportation. For those living with poverty or food insecurity, maintaining good health, eating a nutritious diet, treating an existing chronic disease, or a combination of these might be difficult for a variety of reasons, including limited income and resources, competing priorities, and stress. Furthermore, those who are affected by poverty or food insecurity are likely </w:t>
      </w:r>
      <w:r>
        <w:rPr>
          <w:rFonts w:ascii="Segoe UI" w:hAnsi="Segoe UI" w:cs="Segoe UI"/>
          <w:color w:val="212529"/>
          <w:sz w:val="22"/>
          <w:szCs w:val="22"/>
        </w:rPr>
        <w:lastRenderedPageBreak/>
        <w:t>to face additional resource-related challenges such as housing instability and energy insecurity, which can lead to poor nutrition, health, and illness management. When compared to higher-income neighborhoods, poor or low-income neighborhoods have fewer resources that promote health, such as full-service grocery stores that offer affordable and nutritious foods, parks and recreational facilities that encourage physical activity, and more environmental threats that harm health, such as poor air and water quality, and poor housing conditions (Popham &amp; McGovern, 2019).</w:t>
      </w:r>
    </w:p>
    <w:p w14:paraId="672F0CAB" w14:textId="77777777" w:rsidR="00213A09" w:rsidRDefault="00213A09" w:rsidP="00213A09">
      <w:pPr>
        <w:pStyle w:val="NormalWeb"/>
        <w:shd w:val="clear" w:color="auto" w:fill="FFFFFF"/>
        <w:spacing w:before="0" w:beforeAutospacing="0"/>
        <w:rPr>
          <w:rFonts w:ascii="Segoe UI" w:hAnsi="Segoe UI" w:cs="Segoe UI"/>
          <w:color w:val="212529"/>
          <w:sz w:val="22"/>
          <w:szCs w:val="22"/>
        </w:rPr>
      </w:pPr>
      <w:r>
        <w:rPr>
          <w:rFonts w:ascii="Segoe UI" w:hAnsi="Segoe UI" w:cs="Segoe UI"/>
          <w:color w:val="212529"/>
          <w:sz w:val="22"/>
          <w:szCs w:val="22"/>
        </w:rPr>
        <w:t xml:space="preserve">        Older adults who live in poverty are more likely to develop diabetes, heart disease, and stroke, as well as obesity (especially among women), depression, disability, poor oral health, and premature mortality. Physical inactivity, cigarette smoking, and poor micronutrient intake are all higher among those living in poverty. Furthermore, the high levels of stress experienced by low-income families, particularly children, might exacerbate or exacerbate pre-existing health problems. Due to a lack of financial means, persons who are food insecure, </w:t>
      </w:r>
      <w:proofErr w:type="gramStart"/>
      <w:r>
        <w:rPr>
          <w:rFonts w:ascii="Segoe UI" w:hAnsi="Segoe UI" w:cs="Segoe UI"/>
          <w:color w:val="212529"/>
          <w:sz w:val="22"/>
          <w:szCs w:val="22"/>
        </w:rPr>
        <w:t>whether or not</w:t>
      </w:r>
      <w:proofErr w:type="gramEnd"/>
      <w:r>
        <w:rPr>
          <w:rFonts w:ascii="Segoe UI" w:hAnsi="Segoe UI" w:cs="Segoe UI"/>
          <w:color w:val="212529"/>
          <w:sz w:val="22"/>
          <w:szCs w:val="22"/>
        </w:rPr>
        <w:t xml:space="preserve"> they have a condition, may resort to unhealthy coping mechanisms to stretch their budgets. Acts such as skipping doses, taking less medicine than prescribed, delaying filling a prescription, and not taking certain drugs with food as directed are examples of cost-related pharmaceutical underuse or nonadherence. Some people may put off or skip preventive or necessary medical care, as well as the foods required for </w:t>
      </w:r>
      <w:proofErr w:type="gramStart"/>
      <w:r>
        <w:rPr>
          <w:rFonts w:ascii="Segoe UI" w:hAnsi="Segoe UI" w:cs="Segoe UI"/>
          <w:color w:val="212529"/>
          <w:sz w:val="22"/>
          <w:szCs w:val="22"/>
        </w:rPr>
        <w:t>particular medical</w:t>
      </w:r>
      <w:proofErr w:type="gramEnd"/>
      <w:r>
        <w:rPr>
          <w:rFonts w:ascii="Segoe UI" w:hAnsi="Segoe UI" w:cs="Segoe UI"/>
          <w:color w:val="212529"/>
          <w:sz w:val="22"/>
          <w:szCs w:val="22"/>
        </w:rPr>
        <w:t xml:space="preserve"> diets like diabetic diets. Poverty may also lead to other older persons purchasing a low-cost diet that is high in energy but low in </w:t>
      </w:r>
      <w:proofErr w:type="gramStart"/>
      <w:r>
        <w:rPr>
          <w:rFonts w:ascii="Segoe UI" w:hAnsi="Segoe UI" w:cs="Segoe UI"/>
          <w:color w:val="212529"/>
          <w:sz w:val="22"/>
          <w:szCs w:val="22"/>
        </w:rPr>
        <w:t>nutrients, and</w:t>
      </w:r>
      <w:proofErr w:type="gramEnd"/>
      <w:r>
        <w:rPr>
          <w:rFonts w:ascii="Segoe UI" w:hAnsi="Segoe UI" w:cs="Segoe UI"/>
          <w:color w:val="212529"/>
          <w:sz w:val="22"/>
          <w:szCs w:val="22"/>
        </w:rPr>
        <w:t xml:space="preserve"> making trade-offs between food and other basic needs such as housing, utilities, and transportation (Popham &amp; McGovern, 2019).</w:t>
      </w:r>
    </w:p>
    <w:p w14:paraId="1305E4F3" w14:textId="77777777" w:rsidR="00213A09" w:rsidRDefault="00213A09" w:rsidP="00213A09">
      <w:pPr>
        <w:pStyle w:val="NormalWeb"/>
        <w:shd w:val="clear" w:color="auto" w:fill="FFFFFF"/>
        <w:spacing w:before="0" w:beforeAutospacing="0"/>
        <w:rPr>
          <w:rFonts w:ascii="Segoe UI" w:hAnsi="Segoe UI" w:cs="Segoe UI"/>
          <w:color w:val="212529"/>
          <w:sz w:val="22"/>
          <w:szCs w:val="22"/>
        </w:rPr>
      </w:pPr>
      <w:r>
        <w:rPr>
          <w:rFonts w:ascii="Segoe UI" w:hAnsi="Segoe UI" w:cs="Segoe UI"/>
          <w:color w:val="212529"/>
          <w:sz w:val="22"/>
          <w:szCs w:val="22"/>
        </w:rPr>
        <w:t xml:space="preserve">          According to the National Resource Center on Nutrition, Physical Activity, and Aging, between 35 and 50 percent of older individuals in long-term care institutions and roughly 65 percent of older adults in hospitals are malnourished. These findings highlight the difficulties in keeping a healthy diet. Limited mobility, income, and social support resources are all factors that can make it difficult for independent seniors to access appropriate and nutritious food (Edelman, &amp; </w:t>
      </w:r>
      <w:proofErr w:type="spellStart"/>
      <w:r>
        <w:rPr>
          <w:rFonts w:ascii="Segoe UI" w:hAnsi="Segoe UI" w:cs="Segoe UI"/>
          <w:color w:val="212529"/>
          <w:sz w:val="22"/>
          <w:szCs w:val="22"/>
        </w:rPr>
        <w:t>Kudzama</w:t>
      </w:r>
      <w:proofErr w:type="spellEnd"/>
      <w:r>
        <w:rPr>
          <w:rFonts w:ascii="Segoe UI" w:hAnsi="Segoe UI" w:cs="Segoe UI"/>
          <w:color w:val="212529"/>
          <w:sz w:val="22"/>
          <w:szCs w:val="22"/>
        </w:rPr>
        <w:t>, 2018). Undernutrition (wasting, stunting, and underweight), insufficient vitamins and minerals, overweight, obesity, and the resulting diet-related non-communicable illnesses are all examples of malnutrition. Therefore, it can be clearly said that poverty increases the risk of and consequences of malnutrition. People who are poor are more susceptible to various forms of malnutrition. Malnutrition also raises healthcare expenses, lowers productivity, and hinders economic growth, perpetuating a cycle of poverty and illness (WHO, 2021).</w:t>
      </w:r>
    </w:p>
    <w:p w14:paraId="34E29FB7" w14:textId="2DD00059" w:rsidR="001D6332" w:rsidRDefault="001D6332"/>
    <w:sectPr w:rsidR="001D6332" w:rsidSect="00E64D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213A09"/>
    <w:rsid w:val="001D6332"/>
    <w:rsid w:val="00213A09"/>
    <w:rsid w:val="00E64D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7DBCE"/>
  <w15:chartTrackingRefBased/>
  <w15:docId w15:val="{0AC66B49-EDE3-4A14-849B-4D2111B0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D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3A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655722">
      <w:bodyDiv w:val="1"/>
      <w:marLeft w:val="0"/>
      <w:marRight w:val="0"/>
      <w:marTop w:val="0"/>
      <w:marBottom w:val="0"/>
      <w:divBdr>
        <w:top w:val="none" w:sz="0" w:space="0" w:color="auto"/>
        <w:left w:val="none" w:sz="0" w:space="0" w:color="auto"/>
        <w:bottom w:val="none" w:sz="0" w:space="0" w:color="auto"/>
        <w:right w:val="none" w:sz="0" w:space="0" w:color="auto"/>
      </w:divBdr>
    </w:div>
    <w:div w:id="77871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862</Words>
  <Characters>4917</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sonnhy</dc:creator>
  <cp:keywords/>
  <dc:description/>
  <cp:lastModifiedBy>sonnhy</cp:lastModifiedBy>
  <cp:revision>1</cp:revision>
  <dcterms:created xsi:type="dcterms:W3CDTF">2021-08-12T20:28:00Z</dcterms:created>
  <dcterms:modified xsi:type="dcterms:W3CDTF">2021-08-12T20:34:00Z</dcterms:modified>
</cp:coreProperties>
</file>